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7"/>
        <w:gridCol w:w="286"/>
        <w:gridCol w:w="143"/>
        <w:gridCol w:w="144"/>
        <w:gridCol w:w="286"/>
        <w:gridCol w:w="2723"/>
        <w:gridCol w:w="286"/>
        <w:gridCol w:w="430"/>
        <w:gridCol w:w="1289"/>
        <w:gridCol w:w="430"/>
        <w:gridCol w:w="144"/>
        <w:gridCol w:w="716"/>
        <w:gridCol w:w="287"/>
        <w:gridCol w:w="143"/>
        <w:gridCol w:w="143"/>
        <w:gridCol w:w="717"/>
        <w:gridCol w:w="286"/>
        <w:gridCol w:w="573"/>
        <w:gridCol w:w="573"/>
        <w:gridCol w:w="573"/>
        <w:gridCol w:w="430"/>
        <w:gridCol w:w="144"/>
        <w:gridCol w:w="429"/>
        <w:gridCol w:w="287"/>
        <w:gridCol w:w="430"/>
        <w:gridCol w:w="143"/>
        <w:gridCol w:w="287"/>
        <w:gridCol w:w="716"/>
        <w:gridCol w:w="430"/>
        <w:gridCol w:w="716"/>
        <w:gridCol w:w="1132"/>
        <w:gridCol w:w="15"/>
      </w:tblGrid>
      <w:tr>
        <w:trPr>
          <w:trHeight w:hRule="exact" w:val="1003"/>
        </w:trPr>
        <w:tc>
          <w:tcPr>
            <w:tcW w:w="15618" w:type="dxa"/>
            <w:gridSpan w:val="32"/>
          </w:tcPr>
          <w:p/>
        </w:tc>
      </w:tr>
      <w:tr>
        <w:trPr>
          <w:trHeight w:hRule="exact" w:val="387"/>
        </w:trPr>
        <w:tc>
          <w:tcPr>
            <w:tcW w:w="15618" w:type="dxa"/>
            <w:gridSpan w:val="32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 А С П О Р Т</w:t>
            </w:r>
          </w:p>
        </w:tc>
      </w:tr>
      <w:tr>
        <w:trPr>
          <w:trHeight w:hRule="exact" w:val="43"/>
        </w:trPr>
        <w:tc>
          <w:tcPr>
            <w:tcW w:w="15618" w:type="dxa"/>
            <w:gridSpan w:val="32"/>
          </w:tcPr>
          <w:p/>
        </w:tc>
      </w:tr>
      <w:tr>
        <w:trPr>
          <w:trHeight w:hRule="exact" w:val="387"/>
        </w:trPr>
        <w:tc>
          <w:tcPr>
            <w:tcW w:w="15618" w:type="dxa"/>
            <w:gridSpan w:val="32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регионального проекта</w:t>
            </w:r>
          </w:p>
        </w:tc>
      </w:tr>
      <w:tr>
        <w:trPr>
          <w:trHeight w:hRule="exact" w:val="43"/>
        </w:trPr>
        <w:tc>
          <w:tcPr>
            <w:tcW w:w="15618" w:type="dxa"/>
            <w:gridSpan w:val="32"/>
          </w:tcPr>
          <w:p/>
        </w:tc>
      </w:tr>
      <w:tr>
        <w:trPr>
          <w:trHeight w:hRule="exact" w:val="573"/>
        </w:trPr>
        <w:tc>
          <w:tcPr>
            <w:tcW w:w="15618" w:type="dxa"/>
            <w:gridSpan w:val="32"/>
            <w:tcMar>
              <w:left w:w="72" w:type="dxa"/>
              <w:right w:w="72" w:type="dxa"/>
            </w:tcMar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Развитие экспорта в Республике Татарстан на период 2019-2024 гг</w:t>
            </w:r>
          </w:p>
        </w:tc>
      </w:tr>
      <w:tr>
        <w:trPr>
          <w:trHeight w:hRule="exact" w:val="716"/>
        </w:trPr>
        <w:tc>
          <w:tcPr>
            <w:tcW w:w="15618" w:type="dxa"/>
            <w:gridSpan w:val="32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1. Основные положения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8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федерального проекта</w:t>
            </w:r>
          </w:p>
        </w:tc>
        <w:tc>
          <w:tcPr>
            <w:tcW w:w="11033" w:type="dxa"/>
            <w:gridSpan w:val="2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Экспорт услуг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8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Краткое наименование регионального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проекта</w:t>
            </w:r>
          </w:p>
        </w:tc>
        <w:tc>
          <w:tcPr>
            <w:tcW w:w="472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Экспорт услуг</w:t>
            </w:r>
          </w:p>
        </w:tc>
        <w:tc>
          <w:tcPr>
            <w:tcW w:w="3009" w:type="dxa"/>
            <w:gridSpan w:val="8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начала 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окончания проекта</w:t>
            </w:r>
          </w:p>
        </w:tc>
        <w:tc>
          <w:tcPr>
            <w:tcW w:w="3296" w:type="dxa"/>
            <w:gridSpan w:val="6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01.01.2019 - 31.12.2024</w:t>
            </w:r>
          </w:p>
        </w:tc>
      </w:tr>
      <w:tr>
        <w:trPr>
          <w:trHeight w:hRule="exact" w:val="574"/>
        </w:trPr>
        <w:tc>
          <w:tcPr>
            <w:tcW w:w="4585" w:type="dxa"/>
            <w:gridSpan w:val="8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Куратор регионального проекта</w:t>
            </w:r>
          </w:p>
        </w:tc>
        <w:tc>
          <w:tcPr>
            <w:tcW w:w="11033" w:type="dxa"/>
            <w:gridSpan w:val="2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Альберт Анварович, Заместитель Премьер-министра Республики Татарстан - министр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8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регионального проекта</w:t>
            </w:r>
          </w:p>
        </w:tc>
        <w:tc>
          <w:tcPr>
            <w:tcW w:w="11033" w:type="dxa"/>
            <w:gridSpan w:val="2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Альберт Анварович, Заместитель Премьер-министра Республики Татарстан - министр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8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Администратор регионального проекта</w:t>
            </w:r>
          </w:p>
        </w:tc>
        <w:tc>
          <w:tcPr>
            <w:tcW w:w="11033" w:type="dxa"/>
            <w:gridSpan w:val="2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Хусаинов Алмаз Шаукатович, Заместитель министра</w:t>
            </w:r>
          </w:p>
        </w:tc>
      </w:tr>
      <w:tr>
        <w:trPr>
          <w:trHeight w:hRule="exact" w:val="1504"/>
        </w:trPr>
        <w:tc>
          <w:tcPr>
            <w:tcW w:w="4585" w:type="dxa"/>
            <w:gridSpan w:val="8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Связь с государственными программами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субъекта Российской Федерации</w:t>
            </w:r>
          </w:p>
        </w:tc>
        <w:tc>
          <w:tcPr>
            <w:tcW w:w="11033" w:type="dxa"/>
            <w:gridSpan w:val="2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Государственная программа Республики Татарстан "Развитие транспортной системы Республики Татарстан на 2014 - 2022 годы", утвержденная постановлением Кабинета Министров Республики Татарстан от 20.12.2013 № 1012 "Об утверждении государственной программы "Развитие транспортной системы Республики Татарстан на 2014 - 2022 годы", Государственная программа "Развитие сферы туризма и гостеприимства в Республике Татарстан на 2014-2021 годы"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</w:tcPr>
          <w:p/>
        </w:tc>
      </w:tr>
      <w:tr>
        <w:trPr>
          <w:trHeight w:hRule="exact" w:val="143"/>
        </w:trPr>
        <w:tc>
          <w:tcPr>
            <w:tcW w:w="287" w:type="dxa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</w:p>
        </w:tc>
        <w:tc>
          <w:tcPr>
            <w:tcW w:w="859" w:type="dxa"/>
            <w:gridSpan w:val="4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</w:tc>
        <w:tc>
          <w:tcPr>
            <w:tcW w:w="14472" w:type="dxa"/>
            <w:gridSpan w:val="2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</w:p>
        </w:tc>
      </w:tr>
      <w:tr>
        <w:trPr>
          <w:trHeight w:hRule="exact" w:val="287"/>
        </w:trPr>
        <w:tc>
          <w:tcPr>
            <w:tcW w:w="10889" w:type="dxa"/>
            <w:gridSpan w:val="21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2. Цель и показатели регионального проекта</w:t>
            </w:r>
          </w:p>
        </w:tc>
        <w:tc>
          <w:tcPr>
            <w:tcW w:w="860" w:type="dxa"/>
            <w:gridSpan w:val="3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1</w:t>
            </w:r>
          </w:p>
        </w:tc>
        <w:tc>
          <w:tcPr>
            <w:tcW w:w="3869" w:type="dxa"/>
            <w:gridSpan w:val="8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</w:p>
        </w:tc>
      </w:tr>
      <w:tr>
        <w:trPr>
          <w:trHeight w:hRule="exact" w:val="143"/>
        </w:trPr>
        <w:tc>
          <w:tcPr>
            <w:tcW w:w="15618" w:type="dxa"/>
            <w:gridSpan w:val="32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</w:p>
        </w:tc>
      </w:tr>
      <w:tr>
        <w:trPr>
          <w:trHeight w:hRule="exact" w:val="974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Достижение объема экспорта (в стоимостном выражении) несырьевых неэнергетических товаров в размере 250 млрд. долларов США в год, в том числе продукции машиностроения - 50 млрд. долларов США в год и продукции агропромышленного комплекса - 45 млрд. долларов США в год, а также объема экспорта оказываемых услуг в размере 100 млрд. долларов США в год (Республика Татарстан (Татарстан))</w:t>
            </w:r>
          </w:p>
        </w:tc>
      </w:tr>
      <w:tr>
        <w:trPr>
          <w:trHeight w:hRule="exact" w:val="430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012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показателя</w:t>
            </w:r>
          </w:p>
        </w:tc>
        <w:tc>
          <w:tcPr>
            <w:tcW w:w="186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показателя</w:t>
            </w:r>
          </w:p>
        </w:tc>
        <w:tc>
          <w:tcPr>
            <w:tcW w:w="229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6878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</w:tr>
      <w:tr>
        <w:trPr>
          <w:trHeight w:hRule="exact" w:val="430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28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1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14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14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14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1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1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01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86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28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1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14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14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14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1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11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</w:tr>
      <w:tr>
        <w:trPr>
          <w:trHeight w:hRule="exact" w:val="444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</w:t>
            </w:r>
          </w:p>
        </w:tc>
      </w:tr>
      <w:tr>
        <w:trPr>
          <w:trHeight w:hRule="exact" w:val="716"/>
        </w:trPr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услуг, МЛРД ДОЛЛАР</w:t>
            </w:r>
          </w:p>
        </w:tc>
        <w:tc>
          <w:tcPr>
            <w:tcW w:w="186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31.12.2017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0,3780</w:t>
            </w:r>
          </w:p>
        </w:tc>
        <w:tc>
          <w:tcPr>
            <w:tcW w:w="114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0,4104</w:t>
            </w:r>
          </w:p>
        </w:tc>
        <w:tc>
          <w:tcPr>
            <w:tcW w:w="114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0,4428</w:t>
            </w:r>
          </w:p>
        </w:tc>
        <w:tc>
          <w:tcPr>
            <w:tcW w:w="114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0,4752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0,5076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0,5400</w:t>
            </w:r>
          </w:p>
        </w:tc>
      </w:tr>
      <w:tr>
        <w:trPr>
          <w:trHeight w:hRule="exact" w:val="444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транспортных услуг</w:t>
            </w:r>
          </w:p>
        </w:tc>
      </w:tr>
      <w:tr>
        <w:trPr>
          <w:trHeight w:hRule="exact" w:val="717"/>
        </w:trPr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транспортных услуг, МЛРД ДОЛЛАР</w:t>
            </w:r>
          </w:p>
        </w:tc>
        <w:tc>
          <w:tcPr>
            <w:tcW w:w="186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31.12.2017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0,1184</w:t>
            </w:r>
          </w:p>
        </w:tc>
        <w:tc>
          <w:tcPr>
            <w:tcW w:w="114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0,1259</w:t>
            </w:r>
          </w:p>
        </w:tc>
        <w:tc>
          <w:tcPr>
            <w:tcW w:w="114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0,1334</w:t>
            </w:r>
          </w:p>
        </w:tc>
        <w:tc>
          <w:tcPr>
            <w:tcW w:w="114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0,1410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0,1480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0,1552</w:t>
            </w:r>
          </w:p>
        </w:tc>
      </w:tr>
      <w:tr>
        <w:trPr>
          <w:trHeight w:hRule="exact" w:val="444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платы за пользование интеллектуальной собственностью и экспорта деловых услуг</w:t>
            </w:r>
          </w:p>
        </w:tc>
      </w:tr>
      <w:tr>
        <w:trPr>
          <w:trHeight w:hRule="exact" w:val="1246"/>
        </w:trPr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платы за пользование интеллектуальной собственностью и экспорта деловых услуг, МЛРД ДОЛЛАР</w:t>
            </w:r>
          </w:p>
        </w:tc>
        <w:tc>
          <w:tcPr>
            <w:tcW w:w="186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31.12.2017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0,0603</w:t>
            </w:r>
          </w:p>
        </w:tc>
        <w:tc>
          <w:tcPr>
            <w:tcW w:w="114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0,0676</w:t>
            </w:r>
          </w:p>
        </w:tc>
        <w:tc>
          <w:tcPr>
            <w:tcW w:w="114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0,0740</w:t>
            </w:r>
          </w:p>
        </w:tc>
        <w:tc>
          <w:tcPr>
            <w:tcW w:w="114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0,0790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0,0836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0,0837</w:t>
            </w:r>
          </w:p>
        </w:tc>
      </w:tr>
      <w:tr>
        <w:trPr>
          <w:trHeight w:hRule="exact" w:val="445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 категории "Поездки"</w:t>
            </w:r>
          </w:p>
        </w:tc>
      </w:tr>
      <w:tr>
        <w:trPr>
          <w:trHeight w:hRule="exact" w:val="716"/>
        </w:trPr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 категории "Поездки", МЛРД ДОЛЛАР</w:t>
            </w:r>
          </w:p>
        </w:tc>
        <w:tc>
          <w:tcPr>
            <w:tcW w:w="186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31.12.2017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14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14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14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0,0852</w:t>
            </w:r>
          </w:p>
        </w:tc>
      </w:tr>
      <w:tr>
        <w:trPr>
          <w:trHeight w:hRule="exact" w:val="444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телекоммуникационных, компьютерных и информационных услуг</w:t>
            </w:r>
          </w:p>
        </w:tc>
      </w:tr>
      <w:tr>
        <w:trPr>
          <w:trHeight w:hRule="exact" w:val="1247"/>
        </w:trPr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телекоммуникационных, компьютерных и информационных услуг, МЛРД ДОЛЛАР</w:t>
            </w:r>
          </w:p>
        </w:tc>
        <w:tc>
          <w:tcPr>
            <w:tcW w:w="186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31.12.2017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0,0734</w:t>
            </w:r>
          </w:p>
        </w:tc>
        <w:tc>
          <w:tcPr>
            <w:tcW w:w="114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0,0824</w:t>
            </w:r>
          </w:p>
        </w:tc>
        <w:tc>
          <w:tcPr>
            <w:tcW w:w="114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0,0927</w:t>
            </w:r>
          </w:p>
        </w:tc>
        <w:tc>
          <w:tcPr>
            <w:tcW w:w="114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0,0100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0,1168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0,1313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bottom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 категории "Строительство"</w:t>
            </w:r>
          </w:p>
        </w:tc>
      </w:tr>
      <w:tr>
        <w:trPr>
          <w:trHeight w:hRule="exact" w:val="716"/>
        </w:trPr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 категории "Строительство", МЛРД ДОЛЛАР</w:t>
            </w:r>
          </w:p>
        </w:tc>
        <w:tc>
          <w:tcPr>
            <w:tcW w:w="186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31.12.2017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14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14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14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0,0340</w:t>
            </w:r>
          </w:p>
        </w:tc>
      </w:tr>
      <w:tr>
        <w:trPr>
          <w:trHeight w:hRule="exact" w:val="444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услуг, связанных с использованием промышленной продукции</w:t>
            </w:r>
          </w:p>
        </w:tc>
      </w:tr>
      <w:tr>
        <w:trPr>
          <w:trHeight w:hRule="exact" w:val="974"/>
        </w:trPr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1.7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услуг, связанных с использованием промышленной продукции, МЛРД ДОЛЛАР</w:t>
            </w:r>
          </w:p>
        </w:tc>
        <w:tc>
          <w:tcPr>
            <w:tcW w:w="186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31.12.2017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0,0210</w:t>
            </w:r>
          </w:p>
        </w:tc>
        <w:tc>
          <w:tcPr>
            <w:tcW w:w="114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0,0230</w:t>
            </w:r>
          </w:p>
        </w:tc>
        <w:tc>
          <w:tcPr>
            <w:tcW w:w="114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0,0240</w:t>
            </w:r>
          </w:p>
        </w:tc>
        <w:tc>
          <w:tcPr>
            <w:tcW w:w="114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0,0260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0,0280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0,0290</w:t>
            </w:r>
          </w:p>
        </w:tc>
      </w:tr>
      <w:tr>
        <w:trPr>
          <w:trHeight w:hRule="exact" w:val="445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финансовых и страховых услуг</w:t>
            </w:r>
          </w:p>
        </w:tc>
      </w:tr>
      <w:tr>
        <w:trPr>
          <w:trHeight w:hRule="exact" w:val="716"/>
        </w:trPr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1.8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финансовых и страховых услуг, МЛРД ДОЛЛАР</w:t>
            </w:r>
          </w:p>
        </w:tc>
        <w:tc>
          <w:tcPr>
            <w:tcW w:w="186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31.12.2017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14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14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14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0,0160</w:t>
            </w:r>
          </w:p>
        </w:tc>
      </w:tr>
      <w:tr>
        <w:trPr>
          <w:trHeight w:hRule="exact" w:val="444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 частным лицам и услуг в сфере культуры и отдыха</w:t>
            </w:r>
          </w:p>
        </w:tc>
      </w:tr>
      <w:tr>
        <w:trPr>
          <w:trHeight w:hRule="exact" w:val="974"/>
        </w:trPr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1.9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 частным лицам и услуг в сфере культуры и отдыха, МЛРД ДОЛЛАР</w:t>
            </w:r>
          </w:p>
        </w:tc>
        <w:tc>
          <w:tcPr>
            <w:tcW w:w="186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31.12.2017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14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14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14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0,0018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</w:tcPr>
          <w:p/>
        </w:tc>
      </w:tr>
      <w:tr>
        <w:trPr>
          <w:trHeight w:hRule="exact" w:val="573"/>
        </w:trPr>
        <w:tc>
          <w:tcPr>
            <w:tcW w:w="15618" w:type="dxa"/>
            <w:gridSpan w:val="32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3. Результаты регионального проекта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7021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</w:t>
            </w:r>
          </w:p>
        </w:tc>
        <w:tc>
          <w:tcPr>
            <w:tcW w:w="6305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7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7021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6305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7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902" w:type="dxa"/>
            <w:gridSpan w:val="2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Собственные результаты</w:t>
            </w:r>
          </w:p>
          <w:p/>
        </w:tc>
      </w:tr>
      <w:tr>
        <w:trPr>
          <w:trHeight w:hRule="exact" w:val="859"/>
        </w:trPr>
        <w:tc>
          <w:tcPr>
            <w:tcW w:w="716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</w:t>
            </w:r>
          </w:p>
        </w:tc>
        <w:tc>
          <w:tcPr>
            <w:tcW w:w="7021" w:type="dxa"/>
            <w:gridSpan w:val="1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 рост объемов экспорта услуг Республики Татарстан</w:t>
            </w:r>
          </w:p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01.12.2024</w:t>
            </w:r>
          </w:p>
        </w:tc>
        <w:tc>
          <w:tcPr>
            <w:tcW w:w="6305" w:type="dxa"/>
            <w:gridSpan w:val="1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021" w:type="dxa"/>
            <w:gridSpan w:val="12"/>
            <w:tcMar>
              <w:top w:w="72" w:type="dxa"/>
              <w:left w:w="287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01.12.2024 - 0.54 МЛРД ДОЛЛАР</w:t>
            </w:r>
          </w:p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860"/>
        </w:trPr>
        <w:tc>
          <w:tcPr>
            <w:tcW w:w="716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</w:t>
            </w:r>
          </w:p>
        </w:tc>
        <w:tc>
          <w:tcPr>
            <w:tcW w:w="7021" w:type="dxa"/>
            <w:gridSpan w:val="1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 рост объемов экспорта транспортных услуг</w:t>
            </w:r>
          </w:p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6305" w:type="dxa"/>
            <w:gridSpan w:val="1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021" w:type="dxa"/>
            <w:gridSpan w:val="12"/>
            <w:tcMar>
              <w:top w:w="72" w:type="dxa"/>
              <w:left w:w="287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31.12.2024 - 0.1552 МЛРД РУБ</w:t>
            </w:r>
          </w:p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716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</w:t>
            </w:r>
          </w:p>
        </w:tc>
        <w:tc>
          <w:tcPr>
            <w:tcW w:w="7021" w:type="dxa"/>
            <w:gridSpan w:val="1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 рост объемов платы за пользование интеллектуальной собственностью и экспорта деловых услуг (включает прочие деловые услуги, плату за пользование интеллектуальной собственностью)</w:t>
            </w:r>
          </w:p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6305" w:type="dxa"/>
            <w:gridSpan w:val="1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021" w:type="dxa"/>
            <w:gridSpan w:val="12"/>
            <w:tcMar>
              <w:top w:w="72" w:type="dxa"/>
              <w:left w:w="287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31.12.2024 - 0.0873 МЛРД ДОЛЛАР</w:t>
            </w:r>
          </w:p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860"/>
        </w:trPr>
        <w:tc>
          <w:tcPr>
            <w:tcW w:w="716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</w:t>
            </w:r>
          </w:p>
        </w:tc>
        <w:tc>
          <w:tcPr>
            <w:tcW w:w="7021" w:type="dxa"/>
            <w:gridSpan w:val="1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 рост объемов экспорта услуг категории "Поездки"</w:t>
            </w:r>
          </w:p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6305" w:type="dxa"/>
            <w:gridSpan w:val="1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021" w:type="dxa"/>
            <w:gridSpan w:val="12"/>
            <w:tcMar>
              <w:top w:w="72" w:type="dxa"/>
              <w:left w:w="287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31.12.2024 - 0.0852 МЛРД ДОЛЛАР</w:t>
            </w:r>
          </w:p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7021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</w:t>
            </w:r>
          </w:p>
        </w:tc>
        <w:tc>
          <w:tcPr>
            <w:tcW w:w="6305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6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7021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6305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</w:tr>
      <w:tr>
        <w:trPr>
          <w:trHeight w:hRule="exact" w:val="860"/>
        </w:trPr>
        <w:tc>
          <w:tcPr>
            <w:tcW w:w="716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</w:t>
            </w:r>
          </w:p>
        </w:tc>
        <w:tc>
          <w:tcPr>
            <w:tcW w:w="7021" w:type="dxa"/>
            <w:gridSpan w:val="1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 рост объемов экспорта телекоммуникационных, компьютерных и информационных услуг</w:t>
            </w:r>
          </w:p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6305" w:type="dxa"/>
            <w:gridSpan w:val="1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021" w:type="dxa"/>
            <w:gridSpan w:val="12"/>
            <w:tcMar>
              <w:top w:w="72" w:type="dxa"/>
              <w:left w:w="287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31.12.2024 - 0.1313 МЛРД ДОЛЛАР</w:t>
            </w:r>
          </w:p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860"/>
        </w:trPr>
        <w:tc>
          <w:tcPr>
            <w:tcW w:w="716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</w:t>
            </w:r>
          </w:p>
        </w:tc>
        <w:tc>
          <w:tcPr>
            <w:tcW w:w="7021" w:type="dxa"/>
            <w:gridSpan w:val="1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 рост объемов экспорта услуг категории "Строительство"</w:t>
            </w:r>
          </w:p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6305" w:type="dxa"/>
            <w:gridSpan w:val="1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021" w:type="dxa"/>
            <w:gridSpan w:val="12"/>
            <w:tcMar>
              <w:top w:w="72" w:type="dxa"/>
              <w:left w:w="287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31.12.2024 - 0.034 МЛРД ДОЛЛАР</w:t>
            </w:r>
          </w:p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33"/>
        </w:trPr>
        <w:tc>
          <w:tcPr>
            <w:tcW w:w="716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1.7</w:t>
            </w:r>
          </w:p>
        </w:tc>
        <w:tc>
          <w:tcPr>
            <w:tcW w:w="7021" w:type="dxa"/>
            <w:gridSpan w:val="1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 рост объемов экспорта услуг, связанных с использованием промышленной продукции (объем экспорта услуг по переработке товаров, принадлежащих другим сторонам и объем экспорта услуг  по техническому обслуживанию и ремонту товаров)</w:t>
            </w:r>
          </w:p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6305" w:type="dxa"/>
            <w:gridSpan w:val="1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021" w:type="dxa"/>
            <w:gridSpan w:val="12"/>
            <w:tcMar>
              <w:top w:w="72" w:type="dxa"/>
              <w:left w:w="287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31.12.2024 - 0.029 МЛРД ДОЛЛАР</w:t>
            </w:r>
          </w:p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860"/>
        </w:trPr>
        <w:tc>
          <w:tcPr>
            <w:tcW w:w="716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1.8</w:t>
            </w:r>
          </w:p>
        </w:tc>
        <w:tc>
          <w:tcPr>
            <w:tcW w:w="7021" w:type="dxa"/>
            <w:gridSpan w:val="1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 рост объемов экспорта финансовых и страховых услуг</w:t>
            </w:r>
          </w:p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6305" w:type="dxa"/>
            <w:gridSpan w:val="1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021" w:type="dxa"/>
            <w:gridSpan w:val="12"/>
            <w:tcMar>
              <w:top w:w="72" w:type="dxa"/>
              <w:left w:w="287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31.12.2024 - 0.016 МЛРД ДОЛЛАР</w:t>
            </w:r>
          </w:p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860"/>
        </w:trPr>
        <w:tc>
          <w:tcPr>
            <w:tcW w:w="716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1.9</w:t>
            </w:r>
          </w:p>
        </w:tc>
        <w:tc>
          <w:tcPr>
            <w:tcW w:w="7021" w:type="dxa"/>
            <w:gridSpan w:val="1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 рост объема экспорта услуг частным лицам и услуг в сфере культуры и отдыха</w:t>
            </w:r>
          </w:p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6305" w:type="dxa"/>
            <w:gridSpan w:val="1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021" w:type="dxa"/>
            <w:gridSpan w:val="12"/>
            <w:tcMar>
              <w:top w:w="72" w:type="dxa"/>
              <w:left w:w="287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31.12.2024 - 0.0018 МЛРД ДОЛЛАР</w:t>
            </w:r>
          </w:p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</w:tcPr>
          <w:p/>
        </w:tc>
      </w:tr>
      <w:tr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</w:tc>
        <w:tc>
          <w:tcPr>
            <w:tcW w:w="14758" w:type="dxa"/>
            <w:gridSpan w:val="28"/>
            <w:vAlign w:val="center"/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32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spacing w:line="230"/>
              <w:jc w:val="center"/>
            </w:pPr>
            <w:r>
              <w:rPr>
                <w:sz w:val="28"/>
                <w:szCs w:val="28"/>
                <w:rFonts w:ascii="Times New Roman" w:hAnsi="Times New Roman" w:eastAsia="Times New Roman" w:cs="Times New Roman"/>
                <w:spacing w:val="-2"/>
              </w:rPr>
              <w:t xml:space="preserve">5. Участники регионального проекта</w:t>
            </w:r>
          </w:p>
          <w:p/>
        </w:tc>
      </w:tr>
      <w:tr>
        <w:trPr>
          <w:trHeight w:hRule="exact" w:val="573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43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Роль в региональном проекте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Фамилия, инициалы</w:t>
            </w:r>
          </w:p>
        </w:tc>
        <w:tc>
          <w:tcPr>
            <w:tcW w:w="3295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Должность</w:t>
            </w:r>
          </w:p>
        </w:tc>
        <w:tc>
          <w:tcPr>
            <w:tcW w:w="286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Непосредственный руководитель</w:t>
            </w:r>
          </w:p>
        </w:tc>
        <w:tc>
          <w:tcPr>
            <w:tcW w:w="229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Занятость в проекте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(процентов)</w:t>
            </w:r>
          </w:p>
        </w:tc>
      </w:tr>
      <w:tr>
        <w:trPr>
          <w:trHeight w:hRule="exact" w:val="286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43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3295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86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29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</w:tr>
      <w:tr>
        <w:trPr>
          <w:trHeight w:hRule="exact" w:val="97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43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регионального проекта</w:t>
            </w:r>
          </w:p>
        </w:tc>
        <w:tc>
          <w:tcPr>
            <w:tcW w:w="300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</w:t>
            </w:r>
          </w:p>
        </w:tc>
        <w:tc>
          <w:tcPr>
            <w:tcW w:w="3295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859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343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Администратор регионального проекта</w:t>
            </w:r>
          </w:p>
        </w:tc>
        <w:tc>
          <w:tcPr>
            <w:tcW w:w="300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Хусаинов А. Ш.</w:t>
            </w:r>
          </w:p>
        </w:tc>
        <w:tc>
          <w:tcPr>
            <w:tcW w:w="3295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Обеспечен рост объемов экспорта услуг Республики Татарстан</w:t>
            </w:r>
          </w:p>
          <w:p/>
        </w:tc>
      </w:tr>
      <w:tr>
        <w:trPr>
          <w:trHeight w:hRule="exact" w:val="97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343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</w:t>
            </w:r>
          </w:p>
        </w:tc>
        <w:tc>
          <w:tcPr>
            <w:tcW w:w="3295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716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343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Мухитдинова Р. Э.</w:t>
            </w:r>
          </w:p>
        </w:tc>
        <w:tc>
          <w:tcPr>
            <w:tcW w:w="3295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начальника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716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343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Арасланова А. Т.</w:t>
            </w:r>
          </w:p>
        </w:tc>
        <w:tc>
          <w:tcPr>
            <w:tcW w:w="3295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Начальник аналитического отдела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717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343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Хусаинов А. Ш.</w:t>
            </w:r>
          </w:p>
        </w:tc>
        <w:tc>
          <w:tcPr>
            <w:tcW w:w="3295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Обеспечен рост объемов экспорта транспортных услуг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343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</w:t>
            </w:r>
          </w:p>
        </w:tc>
        <w:tc>
          <w:tcPr>
            <w:tcW w:w="3295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716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Обеспечен рост объемов платы за пользование интеллектуальной собственностью и экспорта деловых услуг (включает прочие деловые услуги, плату за пользование интеллектуальной собственностью)</w:t>
            </w:r>
          </w:p>
          <w:p/>
        </w:tc>
      </w:tr>
      <w:tr>
        <w:trPr>
          <w:trHeight w:hRule="exact" w:val="97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343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</w:t>
            </w:r>
          </w:p>
        </w:tc>
        <w:tc>
          <w:tcPr>
            <w:tcW w:w="3295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32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Обеспечен рост объемов экспорта услуг категории "Поездки"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343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</w:t>
            </w:r>
          </w:p>
        </w:tc>
        <w:tc>
          <w:tcPr>
            <w:tcW w:w="3295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обеспечен рост объемов экспорта телекоммуникационных, компьютерных и информационных услуг</w:t>
            </w:r>
          </w:p>
          <w:p/>
        </w:tc>
      </w:tr>
      <w:tr>
        <w:trPr>
          <w:trHeight w:hRule="exact" w:val="97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343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</w:t>
            </w:r>
          </w:p>
        </w:tc>
        <w:tc>
          <w:tcPr>
            <w:tcW w:w="3295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Обеспечен рост объемов экспорта услуг категории "Строительство"</w:t>
            </w:r>
          </w:p>
          <w:p/>
        </w:tc>
      </w:tr>
      <w:tr>
        <w:trPr>
          <w:trHeight w:hRule="exact" w:val="97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343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</w:t>
            </w:r>
          </w:p>
        </w:tc>
        <w:tc>
          <w:tcPr>
            <w:tcW w:w="3295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716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Обеспечен рост объемов экспорта услуг, связанных с использованием промышленной продукции (объем экспорта услуг по переработке товаров, принадлежащих другим сторонам и объем экспорта услуг по техническому обслуживанию и ремонту товаров)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343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</w:t>
            </w:r>
          </w:p>
        </w:tc>
        <w:tc>
          <w:tcPr>
            <w:tcW w:w="3295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Обеспечен рост объемов экспорта финансовых и страховых услуг</w:t>
            </w:r>
          </w:p>
          <w:p/>
        </w:tc>
      </w:tr>
      <w:tr>
        <w:trPr>
          <w:trHeight w:hRule="exact" w:val="97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343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</w:t>
            </w:r>
          </w:p>
        </w:tc>
        <w:tc>
          <w:tcPr>
            <w:tcW w:w="3295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Обеспечен рост объема экспорта услуг частным лицам и услуг в сфере культуры и отдыха</w:t>
            </w:r>
          </w:p>
          <w:p/>
        </w:tc>
      </w:tr>
      <w:tr>
        <w:trPr>
          <w:trHeight w:hRule="exact" w:val="97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343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</w:t>
            </w:r>
          </w:p>
        </w:tc>
        <w:tc>
          <w:tcPr>
            <w:tcW w:w="3295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32"/>
          </w:tcPr>
          <w:p/>
        </w:tc>
      </w:tr>
      <w:tr>
        <w:trPr>
          <w:trHeight w:hRule="exact" w:val="559"/>
        </w:trPr>
        <w:tc>
          <w:tcPr>
            <w:tcW w:w="15618" w:type="dxa"/>
            <w:gridSpan w:val="32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6. Дополнительная информация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</w:tcPr>
          <w:p/>
        </w:tc>
      </w:tr>
      <w:tr>
        <w:trPr>
          <w:trHeight w:hRule="exact" w:val="573"/>
        </w:trPr>
        <w:tc>
          <w:tcPr>
            <w:tcW w:w="11462" w:type="dxa"/>
            <w:gridSpan w:val="23"/>
          </w:tcPr>
          <w:p/>
        </w:tc>
        <w:tc>
          <w:tcPr>
            <w:tcW w:w="4156" w:type="dxa"/>
            <w:gridSpan w:val="9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ПРИЛОЖЕНИЕ №1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 паспорту регионального проекта</w:t>
            </w:r>
          </w:p>
        </w:tc>
      </w:tr>
      <w:tr>
        <w:trPr>
          <w:trHeight w:hRule="exact" w:val="573"/>
        </w:trPr>
        <w:tc>
          <w:tcPr>
            <w:tcW w:w="11462" w:type="dxa"/>
            <w:gridSpan w:val="23"/>
          </w:tcPr>
          <w:p/>
        </w:tc>
        <w:tc>
          <w:tcPr>
            <w:tcW w:w="4156" w:type="dxa"/>
            <w:gridSpan w:val="9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Экспорт услуг</w:t>
            </w:r>
          </w:p>
        </w:tc>
      </w:tr>
      <w:tr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</w:tc>
        <w:tc>
          <w:tcPr>
            <w:tcW w:w="14758" w:type="dxa"/>
            <w:gridSpan w:val="28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</w:p>
        </w:tc>
      </w:tr>
      <w:tr>
        <w:trPr>
          <w:trHeight w:hRule="exact" w:val="717"/>
        </w:trPr>
        <w:tc>
          <w:tcPr>
            <w:tcW w:w="15618" w:type="dxa"/>
            <w:gridSpan w:val="32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ПЛАН МЕРОПРИЯТИЙ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по реализации регионального проекта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158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580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435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2866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  <w:tc>
          <w:tcPr>
            <w:tcW w:w="186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контроля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58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435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158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43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86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86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18"/>
                <w:szCs w:val="18"/>
                <w:rFonts w:ascii="Times New Roman" w:hAnsi="Times New Roman" w:eastAsia="Times New Roman" w:cs="Times New Roman"/>
                <w:spacing w:val="-2"/>
              </w:rPr>
              <w:t xml:space="preserve"> Обеспечен рост объемов экспорта услуг Республики Татарстан</w:t>
            </w: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  <w:tc>
          <w:tcPr>
            <w:tcW w:w="1290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01.12.2024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КТ: Услуга оказана (работы выполнены)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01.12.2024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1.1.1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информационно-коммуникационной компании среди экспортеров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01.01.2019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01.12.2019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1.1.2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01.01.2019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31.12.2019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bottom w:val="single" w:sz="5" w:space="0" w:color="000000"/>
            </w:tcBorders>
          </w:tcPr>
          <w:p/>
        </w:tc>
      </w:tr>
      <w:tr>
        <w:trPr>
          <w:trHeight w:hRule="exact" w:val="429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158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580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435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2866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  <w:tc>
          <w:tcPr>
            <w:tcW w:w="186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контроля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58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435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158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43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86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86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1.1.3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информационно-коммуникационной компании среди экспортеров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31.12.2020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1.1.4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информационно-коммуникационной компании среди экспортеров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01.01.2021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31.12.2021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1.1.5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информационно-коммуникационной компании среди экспортеров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01.01.2022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31.12.2022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1.1.6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информационно-коммуникационной компании среди экспортеров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01.01.2023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31.12.2023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1.1.7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информационно-коммуникационной компании среди экспортеров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01.01.2024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01.12.2024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1.1.8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31.12.2020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158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580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435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2866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  <w:tc>
          <w:tcPr>
            <w:tcW w:w="186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контроля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58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435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158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43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86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86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1.1.9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01.01.2021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31.12.2021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1.1.10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01.01.2022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31.12.2022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1.1.11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01.01.2023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31.12.2023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1.1.12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01.01.2024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01.12.2024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158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580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435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2866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  <w:tc>
          <w:tcPr>
            <w:tcW w:w="186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контроля</w:t>
            </w:r>
          </w:p>
        </w:tc>
      </w:tr>
      <w:tr>
        <w:trPr>
          <w:trHeight w:hRule="exact" w:val="429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58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435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158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43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86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86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18"/>
                <w:szCs w:val="18"/>
                <w:rFonts w:ascii="Times New Roman" w:hAnsi="Times New Roman" w:eastAsia="Times New Roman" w:cs="Times New Roman"/>
                <w:spacing w:val="-2"/>
              </w:rPr>
              <w:t xml:space="preserve"> Обеспечен рост объемов экспорта транспортных услуг</w:t>
            </w: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  <w:tc>
          <w:tcPr>
            <w:tcW w:w="1290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КТ: Услуга оказана (работы выполнены)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2.1.1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01.01.2019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31.12.2019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2.1.2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31.12.2020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2.1.3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01.01.2021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31.12.2021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2.1.4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01.01.2022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31.12.2022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158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580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435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2866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  <w:tc>
          <w:tcPr>
            <w:tcW w:w="186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контроля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58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435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158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43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86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86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2.1.5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01.01.2023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31.12.2023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2.1.6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01.01.2024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01.12.2024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18"/>
                <w:szCs w:val="18"/>
                <w:rFonts w:ascii="Times New Roman" w:hAnsi="Times New Roman" w:eastAsia="Times New Roman" w:cs="Times New Roman"/>
                <w:spacing w:val="-2"/>
              </w:rPr>
              <w:t xml:space="preserve"> Обеспечен рост объемов платы за пользование интеллектуальной собственностью и экспорта деловых услуг (включает прочие деловые услуги, плату за пользование интеллектуальной собственностью)</w:t>
            </w: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  <w:tc>
          <w:tcPr>
            <w:tcW w:w="1290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3.1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КТ: Услуга оказана (работы выполнены)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3.1.1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01.01.2019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31.12.2019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3.1.2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31.12.2020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158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580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435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2866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  <w:tc>
          <w:tcPr>
            <w:tcW w:w="186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контроля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58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435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158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43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86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86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3.1.3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01.01.2021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31.12.2021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3.1.4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01.01.2022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31.12.2022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3.1.5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01.01.2023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31.12.2023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3.1.6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01.01.2024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01.12.2024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bottom w:val="single" w:sz="5" w:space="0" w:color="000000"/>
            </w:tcBorders>
          </w:tcPr>
          <w:p/>
        </w:tc>
      </w:tr>
      <w:tr>
        <w:trPr>
          <w:trHeight w:hRule="exact" w:val="429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158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580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435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2866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  <w:tc>
          <w:tcPr>
            <w:tcW w:w="186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контроля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58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435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158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43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86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86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18"/>
                <w:szCs w:val="18"/>
                <w:rFonts w:ascii="Times New Roman" w:hAnsi="Times New Roman" w:eastAsia="Times New Roman" w:cs="Times New Roman"/>
                <w:spacing w:val="-2"/>
              </w:rPr>
              <w:t xml:space="preserve"> Обеспечен рост объемов экспорта услуг категории "Поездки"</w:t>
            </w: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  <w:tc>
          <w:tcPr>
            <w:tcW w:w="1290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4.1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КТ: Услуга оказана (работы выполнены)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4.1.1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01.01.2019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31.12.2019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4.1.2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31.12.2020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4.1.3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01.01.2021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31.12.2021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4.1.4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01.01.2022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31.12.2022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158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580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435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2866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  <w:tc>
          <w:tcPr>
            <w:tcW w:w="186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контроля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58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435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158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43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86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86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4.1.5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01.01.2023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31.12.2023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4.1.6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01.01.2024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01.12.2024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18"/>
                <w:szCs w:val="18"/>
                <w:rFonts w:ascii="Times New Roman" w:hAnsi="Times New Roman" w:eastAsia="Times New Roman" w:cs="Times New Roman"/>
                <w:spacing w:val="-2"/>
              </w:rPr>
              <w:t xml:space="preserve"> обеспечен рост объемов экспорта телекоммуникационных, компьютерных и информационных услуг</w:t>
            </w: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  <w:tc>
          <w:tcPr>
            <w:tcW w:w="1290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5.1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КТ: Услуга оказана (работы выполнены)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5.1.1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01.01.2019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31.12.2019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5.1.2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31.12.2020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158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580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435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2866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  <w:tc>
          <w:tcPr>
            <w:tcW w:w="186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контроля</w:t>
            </w:r>
          </w:p>
        </w:tc>
      </w:tr>
      <w:tr>
        <w:trPr>
          <w:trHeight w:hRule="exact" w:val="429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58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435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158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43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86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86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5.1.3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01.01.2021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31.12.2021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5.1.4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01.01.2022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31.12.2022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5.1.5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01.01.2023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31.12.2023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5.1.6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01.01.2024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01.12.2024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32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158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580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435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2866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  <w:tc>
          <w:tcPr>
            <w:tcW w:w="186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контроля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58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435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158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43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86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86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18"/>
                <w:szCs w:val="18"/>
                <w:rFonts w:ascii="Times New Roman" w:hAnsi="Times New Roman" w:eastAsia="Times New Roman" w:cs="Times New Roman"/>
                <w:spacing w:val="-2"/>
              </w:rPr>
              <w:t xml:space="preserve"> Обеспечен рост объемов экспорта услуг категории "Строительство"</w:t>
            </w: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  <w:tc>
          <w:tcPr>
            <w:tcW w:w="1290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6.1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КТ: Услуга оказана (работы выполнены)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6.1.1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01.01.2019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31.12.2019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6.1.2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31.12.2020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6.1.3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01.01.2021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31.12.2021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6.1.4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01.01.2022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31.12.2022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158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580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435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2866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  <w:tc>
          <w:tcPr>
            <w:tcW w:w="186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контроля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58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435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158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43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86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86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6.1.5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01.01.2023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31.12.2023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6.1.6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01.01.2024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01.12.2024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18"/>
                <w:szCs w:val="18"/>
                <w:rFonts w:ascii="Times New Roman" w:hAnsi="Times New Roman" w:eastAsia="Times New Roman" w:cs="Times New Roman"/>
                <w:spacing w:val="-2"/>
              </w:rPr>
              <w:t xml:space="preserve"> Обеспечен рост объемов экспорта услуг, связанных с использованием промышленной продукции (объем экспорта услуг по переработке товаров, принадлежащих другим сторонам и объем экспорта услуг по техническому обслуживанию и ремонту товаров)</w:t>
            </w: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  <w:tc>
          <w:tcPr>
            <w:tcW w:w="1290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7.1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КТ: Услуга оказана (работы выполнены)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7.1.1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01.01.2019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31.12.2019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7.1.2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31.12.2020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32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158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580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435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2866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  <w:tc>
          <w:tcPr>
            <w:tcW w:w="186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контроля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58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435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158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43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86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86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7.1.3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01.01.2021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31.12.2021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7.1.4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01.01.2022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31.12.2022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7.1.5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01.01.2023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31.12.2023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7.1.6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01.01.2024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01.12.2024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158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580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435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2866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  <w:tc>
          <w:tcPr>
            <w:tcW w:w="186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контроля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58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435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158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43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86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86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18"/>
                <w:szCs w:val="18"/>
                <w:rFonts w:ascii="Times New Roman" w:hAnsi="Times New Roman" w:eastAsia="Times New Roman" w:cs="Times New Roman"/>
                <w:spacing w:val="-2"/>
              </w:rPr>
              <w:t xml:space="preserve"> Обеспечен рост объемов экспорта финансовых и страховых услуг</w:t>
            </w: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  <w:tc>
          <w:tcPr>
            <w:tcW w:w="1290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8.1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КТ: Услуга оказана (работы выполнены)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8.1.1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01.01.2019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31.12.2019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8.1.2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31.12.2020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8.1.3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01.01.2021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31.12.2021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8.1.4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01.01.2022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31.12.2022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158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580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435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2866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  <w:tc>
          <w:tcPr>
            <w:tcW w:w="186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контроля</w:t>
            </w:r>
          </w:p>
        </w:tc>
      </w:tr>
      <w:tr>
        <w:trPr>
          <w:trHeight w:hRule="exact" w:val="429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58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435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158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43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86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86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8.1.5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01.01.2023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31.12.2023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8.1.6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01.01.2024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01.12.2024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18"/>
                <w:szCs w:val="18"/>
                <w:rFonts w:ascii="Times New Roman" w:hAnsi="Times New Roman" w:eastAsia="Times New Roman" w:cs="Times New Roman"/>
                <w:spacing w:val="-2"/>
              </w:rPr>
              <w:t xml:space="preserve"> Обеспечен рост объема экспорта услуг частным лицам и услуг в сфере культуры и отдыха</w:t>
            </w: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  <w:tc>
          <w:tcPr>
            <w:tcW w:w="1290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9.1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КТ: Услуга оказана (работы выполнены)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9.1.1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01.01.2019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31.12.2019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9.1.2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31.12.2020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158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580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435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2866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  <w:tc>
          <w:tcPr>
            <w:tcW w:w="186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контроля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58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435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158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43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86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86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9.1.3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01.01.2021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31.12.2021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9.1.4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01.01.2022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31.12.2022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9.1.5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01.01.2023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31.12.2023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9.1.6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участников ВЭД об изменениях регуляторных требований и мерах государственной поддержки экспорта услуг.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01.01.2024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01.12.2024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А., 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</w:tr>
      <w:tr>
        <w:trPr>
          <w:trHeight w:hRule="exact" w:val="573"/>
        </w:trPr>
        <w:tc>
          <w:tcPr>
            <w:tcW w:w="11462" w:type="dxa"/>
            <w:gridSpan w:val="23"/>
          </w:tcPr>
          <w:p/>
        </w:tc>
        <w:tc>
          <w:tcPr>
            <w:tcW w:w="4156" w:type="dxa"/>
            <w:gridSpan w:val="9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ПРИЛОЖЕНИЕ №2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 паспорту регионального проекта</w:t>
            </w:r>
          </w:p>
        </w:tc>
      </w:tr>
      <w:tr>
        <w:trPr>
          <w:trHeight w:hRule="exact" w:val="573"/>
        </w:trPr>
        <w:tc>
          <w:tcPr>
            <w:tcW w:w="11462" w:type="dxa"/>
            <w:gridSpan w:val="23"/>
          </w:tcPr>
          <w:p/>
        </w:tc>
        <w:tc>
          <w:tcPr>
            <w:tcW w:w="4156" w:type="dxa"/>
            <w:gridSpan w:val="9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Экспорт услуг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</w:tr>
      <w:tr>
        <w:trPr>
          <w:trHeight w:hRule="exact" w:val="860"/>
        </w:trPr>
        <w:tc>
          <w:tcPr>
            <w:tcW w:w="15618" w:type="dxa"/>
            <w:gridSpan w:val="32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МЕТОДИКА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расчета дополнительных показателей регионального проекта</w:t>
            </w:r>
          </w:p>
        </w:tc>
      </w:tr>
      <w:tr>
        <w:trPr>
          <w:trHeight w:hRule="exact" w:val="860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2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Временные характеристики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6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2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 МЛРД ДОЛЛАР</w:t>
            </w:r>
          </w:p>
        </w:tc>
      </w:tr>
      <w:tr>
        <w:trPr>
          <w:trHeight w:hRule="exact" w:val="1003"/>
        </w:trPr>
        <w:tc>
          <w:tcPr>
            <w:tcW w:w="15618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67266" cy="640106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7266" cy="64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</w:t>
            </w:r>
          </w:p>
        </w:tc>
        <w:tc>
          <w:tcPr>
            <w:tcW w:w="2435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20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009" w:type="dxa"/>
            <w:gridSpan w:val="5"/>
            <w:vMerge w:val="restart"/>
            <w:tcMar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Определение показателей внешней торговли услугами, порядок их сбора и формирования Банком России соответствует методологическими положениями статистики платежного баланса и основываются на «Руководстве по платежному балансу и международной инвестиционной позиции» Международного валютного фонда (Шестое издание, 2009 год) и «Руководстве по статистике международной торговли услугами, 2010 год» ООН</w:t>
            </w:r>
          </w:p>
        </w:tc>
      </w:tr>
      <w:tr>
        <w:trPr>
          <w:trHeight w:hRule="exact" w:val="2851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</w:tr>
      <w:tr>
        <w:trPr>
          <w:trHeight w:hRule="exact" w:val="859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2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Временные характеристики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7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2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транспортных услуг МЛРД ДОЛЛАР</w:t>
            </w:r>
          </w:p>
        </w:tc>
      </w:tr>
      <w:tr>
        <w:trPr>
          <w:trHeight w:hRule="exact" w:val="1003"/>
        </w:trPr>
        <w:tc>
          <w:tcPr>
            <w:tcW w:w="15618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67266" cy="640106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7266" cy="64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865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3296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</w:t>
            </w:r>
          </w:p>
        </w:tc>
        <w:tc>
          <w:tcPr>
            <w:tcW w:w="2435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20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009" w:type="dxa"/>
            <w:gridSpan w:val="5"/>
            <w:vMerge w:val="restart"/>
            <w:tcMar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Определение показателей внешней торговли услугами, порядок их сбора и формирования Банком России соответствует методологическими положениями статистики платежного баланса и основываются на «Руководстве по платежному балансу и международной инвестиционной позиции» Международного валютного фонда (Шестое издание, 2009 год) и «Руководстве по статистике международной торговли услугами, 2010 год» ООН</w:t>
            </w:r>
          </w:p>
        </w:tc>
      </w:tr>
      <w:tr>
        <w:trPr>
          <w:trHeight w:hRule="exact" w:val="2852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15618" w:type="dxa"/>
            <w:gridSpan w:val="3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</w:tr>
      <w:tr>
        <w:trPr>
          <w:trHeight w:hRule="exact" w:val="860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2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Временные характеристики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7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2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платы за пользование интеллектуальной собственностью и экспорта деловых услуг МЛРД ДОЛЛАР</w:t>
            </w:r>
          </w:p>
        </w:tc>
      </w:tr>
      <w:tr>
        <w:trPr>
          <w:trHeight w:hRule="exact" w:val="1003"/>
        </w:trPr>
        <w:tc>
          <w:tcPr>
            <w:tcW w:w="15618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67266" cy="640106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7266" cy="64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3296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</w:t>
            </w:r>
          </w:p>
        </w:tc>
        <w:tc>
          <w:tcPr>
            <w:tcW w:w="2435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20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009" w:type="dxa"/>
            <w:gridSpan w:val="5"/>
            <w:vMerge w:val="restart"/>
            <w:tcMar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Определение показателей внешней торговли услугами, порядок их сбора и формирования Банком России соответствует методологическими положениями статистики платежного баланса и основываются на «Руководстве по платежному балансу и международной инвестиционной позиции» Международного валютного фонда (Шестое издание, 2009 год) и «Руководстве по статистике международной торговли услугами, 2010 год» ООН</w:t>
            </w:r>
          </w:p>
        </w:tc>
      </w:tr>
      <w:tr>
        <w:trPr>
          <w:trHeight w:hRule="exact" w:val="2851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</w:t>
            </w:r>
          </w:p>
        </w:tc>
      </w:tr>
      <w:tr>
        <w:trPr>
          <w:trHeight w:hRule="exact" w:val="860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2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Временные характеристики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6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2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 категории "Поездки" МЛРД ДОЛЛАР</w:t>
            </w:r>
          </w:p>
        </w:tc>
      </w:tr>
      <w:tr>
        <w:trPr>
          <w:trHeight w:hRule="exact" w:val="1003"/>
        </w:trPr>
        <w:tc>
          <w:tcPr>
            <w:tcW w:w="15618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67266" cy="640106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7266" cy="64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3296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</w:t>
            </w:r>
          </w:p>
        </w:tc>
        <w:tc>
          <w:tcPr>
            <w:tcW w:w="2435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20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009" w:type="dxa"/>
            <w:gridSpan w:val="5"/>
            <w:vMerge w:val="restart"/>
            <w:tcMar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Определение показателей внешней торговли услугами, порядок их сбора и формирования Банком России соответствует методологическими положениями статистики платежного баланса и основываются на «Руководстве по платежному балансу и международной инвестиционной позиции» Международного валютного фонда (Шестое издание, 2009 год) и «Руководстве по статистике международной торговли услугами, 2010 год» ООН</w:t>
            </w:r>
          </w:p>
        </w:tc>
      </w:tr>
      <w:tr>
        <w:trPr>
          <w:trHeight w:hRule="exact" w:val="2851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</w:t>
            </w:r>
          </w:p>
        </w:tc>
      </w:tr>
      <w:tr>
        <w:trPr>
          <w:trHeight w:hRule="exact" w:val="860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2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Временные характеристики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6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2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телекоммуникационных, компьютерных и информационных услуг МЛРД ДОЛЛАР</w:t>
            </w:r>
          </w:p>
        </w:tc>
      </w:tr>
      <w:tr>
        <w:trPr>
          <w:trHeight w:hRule="exact" w:val="1003"/>
        </w:trPr>
        <w:tc>
          <w:tcPr>
            <w:tcW w:w="15618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67266" cy="640106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7266" cy="64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3296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</w:t>
            </w:r>
          </w:p>
        </w:tc>
        <w:tc>
          <w:tcPr>
            <w:tcW w:w="2435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20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009" w:type="dxa"/>
            <w:gridSpan w:val="5"/>
            <w:vMerge w:val="restart"/>
            <w:tcMar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Определение показателей внешней торговли услугами, порядок их сбора и формирования Банком России соответствует методологическими положениями статистики платежного баланса и основываются на «Руководстве по платежному балансу и международной инвестиционной позиции» Международного валютного фонда (Шестое издание, 2009 год) и «Руководстве по статистике международной торговли услугами, 2010 год» ООН</w:t>
            </w:r>
          </w:p>
        </w:tc>
      </w:tr>
      <w:tr>
        <w:trPr>
          <w:trHeight w:hRule="exact" w:val="2851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</w:tr>
      <w:tr>
        <w:trPr>
          <w:trHeight w:hRule="exact" w:val="859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2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Временные характеристики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7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2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 категории "Строительство" МЛРД ДОЛЛАР</w:t>
            </w:r>
          </w:p>
        </w:tc>
      </w:tr>
      <w:tr>
        <w:trPr>
          <w:trHeight w:hRule="exact" w:val="1003"/>
        </w:trPr>
        <w:tc>
          <w:tcPr>
            <w:tcW w:w="15618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67266" cy="640106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7266" cy="64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865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3296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</w:t>
            </w:r>
          </w:p>
        </w:tc>
        <w:tc>
          <w:tcPr>
            <w:tcW w:w="2435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20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009" w:type="dxa"/>
            <w:gridSpan w:val="5"/>
            <w:vMerge w:val="restart"/>
            <w:tcMar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Определение показателей внешней торговли услугами, порядок их сбора и формирования Банком России соответствует методологическими положениями статистики платежного баланса и основываются на «Руководстве по платежному балансу и международной инвестиционной позиции» Международного валютного фонда (Шестое издание, 2009 год) и «Руководстве по статистике международной торговли услугами, 2010 год» ООН</w:t>
            </w:r>
          </w:p>
        </w:tc>
      </w:tr>
      <w:tr>
        <w:trPr>
          <w:trHeight w:hRule="exact" w:val="2852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15618" w:type="dxa"/>
            <w:gridSpan w:val="3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</w:t>
            </w:r>
          </w:p>
        </w:tc>
      </w:tr>
      <w:tr>
        <w:trPr>
          <w:trHeight w:hRule="exact" w:val="860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2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Временные характеристики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7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2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услуг, связанных с использованием промышленной продукции МЛРД ДОЛЛАР</w:t>
            </w:r>
          </w:p>
        </w:tc>
      </w:tr>
      <w:tr>
        <w:trPr>
          <w:trHeight w:hRule="exact" w:val="1003"/>
        </w:trPr>
        <w:tc>
          <w:tcPr>
            <w:tcW w:w="15618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67266" cy="640106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7266" cy="64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3296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</w:t>
            </w:r>
          </w:p>
        </w:tc>
        <w:tc>
          <w:tcPr>
            <w:tcW w:w="2435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20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009" w:type="dxa"/>
            <w:gridSpan w:val="5"/>
            <w:vMerge w:val="restart"/>
            <w:tcMar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Определение показателей внешней торговли услугами, порядок их сбора и формирования Банком России соответствует методологическими положениями статистики платежного баланса и основываются на «Руководстве по платежному балансу и международной инвестиционной позиции» Международного валютного фонда (Шестое издание, 2009 год) и «Руководстве по статистике международной торговли услугами, 2010 год» ООН</w:t>
            </w:r>
          </w:p>
        </w:tc>
      </w:tr>
      <w:tr>
        <w:trPr>
          <w:trHeight w:hRule="exact" w:val="2851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</w:t>
            </w:r>
          </w:p>
        </w:tc>
      </w:tr>
      <w:tr>
        <w:trPr>
          <w:trHeight w:hRule="exact" w:val="860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2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Временные характеристики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6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2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финансовых и страховых услуг МЛРД ДОЛЛАР</w:t>
            </w:r>
          </w:p>
        </w:tc>
      </w:tr>
      <w:tr>
        <w:trPr>
          <w:trHeight w:hRule="exact" w:val="1003"/>
        </w:trPr>
        <w:tc>
          <w:tcPr>
            <w:tcW w:w="15618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67266" cy="640106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7266" cy="64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3296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</w:t>
            </w:r>
          </w:p>
        </w:tc>
        <w:tc>
          <w:tcPr>
            <w:tcW w:w="2435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20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009" w:type="dxa"/>
            <w:gridSpan w:val="5"/>
            <w:vMerge w:val="restart"/>
            <w:tcMar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Определение показателей внешней торговли услугами, порядок их сбора и формирования Банком России соответствует методологическими положениями статистики платежного баланса и основываются на «Руководстве по платежному балансу и международной инвестиционной позиции» Международного валютного фонда (Шестое издание, 2009 год) и «Руководстве по статистике международной торговли услугами, 2010 год» ООН</w:t>
            </w:r>
          </w:p>
        </w:tc>
      </w:tr>
      <w:tr>
        <w:trPr>
          <w:trHeight w:hRule="exact" w:val="2851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</w:t>
            </w:r>
          </w:p>
        </w:tc>
      </w:tr>
      <w:tr>
        <w:trPr>
          <w:trHeight w:hRule="exact" w:val="860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2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Временные характеристики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6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2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 частным лицам и услуг в сфере культуры и отдыха МЛРД ДОЛЛАР</w:t>
            </w:r>
          </w:p>
        </w:tc>
      </w:tr>
      <w:tr>
        <w:trPr>
          <w:trHeight w:hRule="exact" w:val="1003"/>
        </w:trPr>
        <w:tc>
          <w:tcPr>
            <w:tcW w:w="15618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67266" cy="640106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7266" cy="64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3296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услуг</w:t>
            </w:r>
          </w:p>
        </w:tc>
        <w:tc>
          <w:tcPr>
            <w:tcW w:w="2435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20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009" w:type="dxa"/>
            <w:gridSpan w:val="5"/>
            <w:vMerge w:val="restart"/>
            <w:tcMar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Определение показателей внешней торговли услугами, порядок их сбора и формирования Банком России соответствует методологическими положениями статистики платежного баланса и основываются на «Руководстве по платежному балансу и международной инвестиционной позиции» Международного валютного фонда (Шестое издание, 2009 год) и «Руководстве по статистике международной торговли услугами, 2010 год» ООН</w:t>
            </w:r>
          </w:p>
        </w:tc>
      </w:tr>
      <w:tr>
        <w:trPr>
          <w:trHeight w:hRule="exact" w:val="2851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</w:tbl>
    <w:sectPr>
      <w:pgSz w:w="16834" w:h="13349" w:orient="landscape"/>
      <w:pgMar w:top="1134" w:right="576" w:bottom="526" w:left="576" w:header="1134" w:footer="52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/>
  <w:font w:name="Times New Roman"/>
  <w:font w:name="Calibri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00001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2019.3.4 from 5 August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RP_Eksport_uslug</dc:title>
  <dc:subject>RP_Eksport_uslug</dc:subject>
  <dc:creator/>
  <cp:keywords/>
  <dc:description/>
  <cp:lastModifiedBy>Stimulsoft Reports 2019.3.4 from 5 August 2019</cp:lastModifiedBy>
  <cp:revision>1</cp:revision>
  <dcterms:created xsi:type="dcterms:W3CDTF">2019-10-23T12:05:24Z</dcterms:created>
  <dcterms:modified xsi:type="dcterms:W3CDTF">2019-10-23T12:05:24Z</dcterms:modified>
</cp:coreProperties>
</file>