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62" w:rsidRPr="007D6162" w:rsidRDefault="007D6162" w:rsidP="007D61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  <w:r w:rsidRPr="007D616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E48851" wp14:editId="6E4E5E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18435" cy="667385"/>
            <wp:effectExtent l="0" t="0" r="5715" b="0"/>
            <wp:wrapTight wrapText="bothSides">
              <wp:wrapPolygon edited="0">
                <wp:start x="0" y="0"/>
                <wp:lineTo x="0" y="20963"/>
                <wp:lineTo x="21494" y="20963"/>
                <wp:lineTo x="21494" y="0"/>
                <wp:lineTo x="0" y="0"/>
              </wp:wrapPolygon>
            </wp:wrapTight>
            <wp:docPr id="54" name="Рисунок 54" descr="D:\Мои документы\Downloads\т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Downloads\тас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162">
        <w:rPr>
          <w:b/>
          <w:sz w:val="26"/>
          <w:szCs w:val="26"/>
        </w:rPr>
        <w:t>06 СЕНТЯБРЯ</w:t>
      </w:r>
    </w:p>
    <w:p w:rsidR="00AA487D" w:rsidRPr="007D6162" w:rsidRDefault="007D6162" w:rsidP="007D61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162">
        <w:rPr>
          <w:rFonts w:ascii="Times New Roman" w:hAnsi="Times New Roman" w:cs="Times New Roman"/>
          <w:b/>
          <w:sz w:val="26"/>
          <w:szCs w:val="26"/>
        </w:rPr>
        <w:t xml:space="preserve">Денис </w:t>
      </w:r>
      <w:proofErr w:type="spellStart"/>
      <w:r w:rsidRPr="007D6162">
        <w:rPr>
          <w:rFonts w:ascii="Times New Roman" w:hAnsi="Times New Roman" w:cs="Times New Roman"/>
          <w:b/>
          <w:sz w:val="26"/>
          <w:szCs w:val="26"/>
        </w:rPr>
        <w:t>Мантуров</w:t>
      </w:r>
      <w:proofErr w:type="spellEnd"/>
      <w:r w:rsidRPr="007D6162">
        <w:rPr>
          <w:rFonts w:ascii="Times New Roman" w:hAnsi="Times New Roman" w:cs="Times New Roman"/>
          <w:b/>
          <w:sz w:val="26"/>
          <w:szCs w:val="26"/>
        </w:rPr>
        <w:t>: бизнес готов создавать на острове Русский центры исследований и разработок</w:t>
      </w:r>
    </w:p>
    <w:p w:rsidR="007D6162" w:rsidRPr="007D6162" w:rsidRDefault="007D6162" w:rsidP="007D616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D6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промышленности и торговли Денис </w:t>
      </w:r>
      <w:proofErr w:type="spellStart"/>
      <w:r w:rsidRPr="007D6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Мантуров</w:t>
      </w:r>
      <w:proofErr w:type="spellEnd"/>
      <w:r w:rsidRPr="007D6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 полях </w:t>
      </w:r>
      <w:hyperlink r:id="rId5" w:tgtFrame="_blank" w:history="1">
        <w:r w:rsidRPr="007D6162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Восточного экономического форума</w:t>
        </w:r>
      </w:hyperlink>
      <w:r w:rsidRPr="007D61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(ВЭФ) рассказал ТАСС о том, какой бизнес готов развивать проекты в Дальневосточном регионе, какие направления стали локомотивами развития экспорта из России в этом году, почему в стране продолжают снижаться продажи автомобилей и как министерство намерено тормозить эту тенденцию.</w:t>
      </w:r>
    </w:p>
    <w:bookmarkEnd w:id="0"/>
    <w:p w:rsidR="007D6162" w:rsidRPr="007D6162" w:rsidRDefault="007D6162" w:rsidP="007D616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 Особенность Восточного экономического форума — упор на развитии Дальнего Востока. В этом году президент провел в рамках ВЭФ президиум Госсовета по развитию Дальневосточного региона, а в прошлом году призвал корпорации размещать инжиниринговые центры на острове Русский. Было ли услышано это предложение? Какие крупные промышленные предприятия работают в этом направлении?</w:t>
      </w:r>
    </w:p>
    <w:p w:rsidR="007D6162" w:rsidRPr="007D6162" w:rsidRDefault="007D6162" w:rsidP="007D616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Каких результатов удалось добиться за год? Мы поддерживали и будем продолжать поддерживать промышленность этого региона. Мы уже давно работаем над инструментами и мерами поддержки и работающих сейчас, и будущих промышленных центров, инвестиционных проектов региона. В итоге уже сейчас нами усилены промышленные блоки </w:t>
      </w:r>
      <w:proofErr w:type="spellStart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нацпрограммы</w:t>
      </w:r>
      <w:proofErr w:type="spellEnd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Дальнего Востока по каждому из субъектов Дальневосточного федерального округа.</w:t>
      </w:r>
    </w:p>
    <w:p w:rsidR="007D6162" w:rsidRPr="007D6162" w:rsidRDefault="007D6162" w:rsidP="007D616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 Дальнем Востоке развита и авиационная, и горнодобывающая отрасли. Строится верфь "Звезда", а недавно стартовала модернизация </w:t>
      </w:r>
      <w:proofErr w:type="spellStart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Жатайского</w:t>
      </w:r>
      <w:proofErr w:type="spellEnd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судоремонтно-судостроительного завода. На этой площадке мы будем строить современные речные суда. А на острове Русский уже запланировано размещение центров исследований и разработок. Вместе с </w:t>
      </w:r>
      <w:proofErr w:type="spellStart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Минвостокразвития</w:t>
      </w:r>
      <w:proofErr w:type="spellEnd"/>
      <w:r w:rsidRPr="007D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другими ведомствами мы работали над привлечением на остров крупных компаний, и многие из них позитивно восприняли идею такого развития региона. Так, уже сейчас запланировано открытие шести инжиниринговых центров. Это позволит создать более 100 новых рабочих мест в регионе. Реализация проектов запланирована с 2019 по 2025 год. 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>Могу привести конкретные примеры. "Вертолеты России" совместно с OAK планируют создать инжиниринговый центр для развития и внедрения в производство инновационных технологий, таких как робототехника, дополненная реальность, обработка "больших данных". На базе центра также планируется разработка обучающих программ и подготовка кадров в интересах авиационных предприятий.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"Роснефть" создает инжиниринговый центр по направлениям судостроения и судоремонта, развития инновационных технологий. Мы видим, что на Дальнем Востоке могут развиваться самые разные промышленные отрасли. И те проекты, которые реализуются сейчас, — это малая часть того потенциала, которым обладает </w:t>
      </w:r>
      <w:r w:rsidRPr="007D6162">
        <w:rPr>
          <w:sz w:val="26"/>
          <w:szCs w:val="26"/>
        </w:rPr>
        <w:lastRenderedPageBreak/>
        <w:t>регион. Мы хотим работать и над промышленностью, и над экспортом товаров из Дальнего Востока.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 xml:space="preserve">— Что касается экспорта: правительство ранее прогнозировало, что экспорт </w:t>
      </w:r>
      <w:proofErr w:type="spellStart"/>
      <w:r w:rsidRPr="007D6162">
        <w:rPr>
          <w:rStyle w:val="a4"/>
          <w:sz w:val="26"/>
          <w:szCs w:val="26"/>
        </w:rPr>
        <w:t>несырьевых</w:t>
      </w:r>
      <w:proofErr w:type="spellEnd"/>
      <w:r w:rsidRPr="007D6162">
        <w:rPr>
          <w:rStyle w:val="a4"/>
          <w:sz w:val="26"/>
          <w:szCs w:val="26"/>
        </w:rPr>
        <w:t xml:space="preserve"> товаров из России в 2019 году достигнет $160 млрд, что означало бы небольшой рост по сравнению с прошлым годом. Как вы считаете, этот прогноз сбудется?</w:t>
      </w:r>
    </w:p>
    <w:p w:rsidR="007D6162" w:rsidRPr="007D6162" w:rsidRDefault="007D6162" w:rsidP="007D616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>— Не исключаю, что прогноз из-за конъюнктурных факторов будет скорректирован относительно заложенных в проекте цифр. Это связано прежде всего с колебаниями на мировых биржах. Но по ряду отраслей мы видим положительную динамику: например, в первой половине 2019 года экспорт продукции машиностроения вырос на 2%, двухпроцентный рост показывает и экспорт в категории легкой промышленности. Рост на 4% показывает экспорт фармацевтической, парфюмерной и косметической продукции. На 20% вырос экспорт таких товаров аграрно-промышленного комплекса, как масложировая продукция. Драйверами являются химическая, нефтехимическая, металлургическая отрасли.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>— Российские автомобильные гиганты — как местные, так и локализованные компании — также во многом ориентированы на экспорт. Но российский авторынок продолжает падать. Минпромторг традиционно работает над поддержанием спроса на автомобили. Будете ли вы сейчас предпринимать какие-то дополнительные усилия?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— К сожалению, основная причина сокращения продаж новых автомобилей кроется в снижении реальных доходов населения. Мы с 1 июля 2019 года продлили господдержку российского авторынка через программы льготного автокредитования и льготного </w:t>
      </w:r>
      <w:proofErr w:type="spellStart"/>
      <w:r w:rsidRPr="007D6162">
        <w:rPr>
          <w:sz w:val="26"/>
          <w:szCs w:val="26"/>
        </w:rPr>
        <w:t>автолизинга</w:t>
      </w:r>
      <w:proofErr w:type="spellEnd"/>
      <w:r w:rsidRPr="007D6162">
        <w:rPr>
          <w:sz w:val="26"/>
          <w:szCs w:val="26"/>
        </w:rPr>
        <w:t>. На эти цели в 2019 году будет дополнительно выделено 10 млрд рублей — 6 млрд рублей на социальные программы "Первый автомобиль" и "Семейный автомобиль" в рамках льготного автокредитования и 4 млрд рублей — на льготный лизинг коммерческой техники. Это позволит дополнительно реализовать более 75 тыс. единиц техники в 2019 году. Также продолжится программа стимулирования спроса на газомоторную технику с бюджетом 2,5 млрд рублей.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 xml:space="preserve">— Давайте вернемся на Дальний Восток и к теме экспорта. </w:t>
      </w:r>
      <w:proofErr w:type="spellStart"/>
      <w:r w:rsidRPr="007D6162">
        <w:rPr>
          <w:rStyle w:val="a4"/>
          <w:sz w:val="26"/>
          <w:szCs w:val="26"/>
        </w:rPr>
        <w:t>Mazda-Sollers</w:t>
      </w:r>
      <w:proofErr w:type="spellEnd"/>
      <w:r w:rsidRPr="007D6162">
        <w:rPr>
          <w:rStyle w:val="a4"/>
          <w:sz w:val="26"/>
          <w:szCs w:val="26"/>
        </w:rPr>
        <w:t xml:space="preserve"> произвела на своем заводе партию двигателей, которая рассчитана именно на экспорт в Японию. А будут ли эти двигатели отправляться и в другие страны?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— Запуск серийного производства двигателей на заводе </w:t>
      </w:r>
      <w:proofErr w:type="spellStart"/>
      <w:r w:rsidRPr="007D6162">
        <w:rPr>
          <w:sz w:val="26"/>
          <w:szCs w:val="26"/>
        </w:rPr>
        <w:t>Mazda-Sollers</w:t>
      </w:r>
      <w:proofErr w:type="spellEnd"/>
      <w:r w:rsidRPr="007D6162">
        <w:rPr>
          <w:sz w:val="26"/>
          <w:szCs w:val="26"/>
        </w:rPr>
        <w:t xml:space="preserve"> — это первый высокотехнологичный проект на Дальнем Востоке, который интегрирован в глобальную цепочку крупного международного концерна. Сейчас 100% произведенных двигателей отгружается в Японию для нужд автомобильных предприятий </w:t>
      </w:r>
      <w:proofErr w:type="spellStart"/>
      <w:r w:rsidRPr="007D6162">
        <w:rPr>
          <w:sz w:val="26"/>
          <w:szCs w:val="26"/>
        </w:rPr>
        <w:t>Mazda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Motor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Corporation</w:t>
      </w:r>
      <w:proofErr w:type="spellEnd"/>
      <w:r w:rsidRPr="007D6162">
        <w:rPr>
          <w:sz w:val="26"/>
          <w:szCs w:val="26"/>
        </w:rPr>
        <w:t xml:space="preserve">. В свою очередь, автомобили </w:t>
      </w:r>
      <w:proofErr w:type="spellStart"/>
      <w:r w:rsidRPr="007D6162">
        <w:rPr>
          <w:sz w:val="26"/>
          <w:szCs w:val="26"/>
        </w:rPr>
        <w:t>Mazda</w:t>
      </w:r>
      <w:proofErr w:type="spellEnd"/>
      <w:r w:rsidRPr="007D6162">
        <w:rPr>
          <w:sz w:val="26"/>
          <w:szCs w:val="26"/>
        </w:rPr>
        <w:t xml:space="preserve"> с произведенными во Владивостоке двигателями будут поставляться на все международные рынки, где присутствует бренд. Так что мы можем говорить о косвенном экспорте в третьи страны.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lastRenderedPageBreak/>
        <w:t xml:space="preserve">Тестовая партия двигателей успешно прошла испытания и признана полностью соответствующей всем международным стандартам качества компании </w:t>
      </w:r>
      <w:proofErr w:type="spellStart"/>
      <w:r w:rsidRPr="007D6162">
        <w:rPr>
          <w:sz w:val="26"/>
          <w:szCs w:val="26"/>
        </w:rPr>
        <w:t>Mazda</w:t>
      </w:r>
      <w:proofErr w:type="spellEnd"/>
      <w:r w:rsidRPr="007D6162">
        <w:rPr>
          <w:sz w:val="26"/>
          <w:szCs w:val="26"/>
        </w:rPr>
        <w:t xml:space="preserve">. В 2020 году </w:t>
      </w:r>
      <w:proofErr w:type="spellStart"/>
      <w:r w:rsidRPr="007D6162">
        <w:rPr>
          <w:sz w:val="26"/>
          <w:szCs w:val="26"/>
        </w:rPr>
        <w:t>Mazda-Sollers</w:t>
      </w:r>
      <w:proofErr w:type="spellEnd"/>
      <w:r w:rsidRPr="007D6162">
        <w:rPr>
          <w:sz w:val="26"/>
          <w:szCs w:val="26"/>
        </w:rPr>
        <w:t xml:space="preserve"> рассчитывает увеличить объемы производства и выйти на мощность до 20 тыс. двигателей ежегодно.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>— В июне вы говорили, что пилотный проект по использованию платежей по QR-коду в </w:t>
      </w:r>
      <w:proofErr w:type="spellStart"/>
      <w:r w:rsidRPr="007D6162">
        <w:rPr>
          <w:rStyle w:val="a4"/>
          <w:sz w:val="26"/>
          <w:szCs w:val="26"/>
        </w:rPr>
        <w:t>ретейле</w:t>
      </w:r>
      <w:proofErr w:type="spellEnd"/>
      <w:r w:rsidRPr="007D6162">
        <w:rPr>
          <w:rStyle w:val="a4"/>
          <w:sz w:val="26"/>
          <w:szCs w:val="26"/>
        </w:rPr>
        <w:t xml:space="preserve"> может начаться уже осенью. Есть ли уже конкретика по проекту? Когда стартует "пилот" и какие торговые сети в нем поучаствуют?</w:t>
      </w:r>
    </w:p>
    <w:p w:rsidR="007D6162" w:rsidRPr="007D6162" w:rsidRDefault="007D6162" w:rsidP="007D616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— Система быстрых платежей — это инфраструктурный проект Центробанка, в котором </w:t>
      </w:r>
      <w:proofErr w:type="spellStart"/>
      <w:r w:rsidRPr="007D6162">
        <w:rPr>
          <w:sz w:val="26"/>
          <w:szCs w:val="26"/>
        </w:rPr>
        <w:t>ретейл</w:t>
      </w:r>
      <w:proofErr w:type="spellEnd"/>
      <w:r w:rsidRPr="007D6162">
        <w:rPr>
          <w:sz w:val="26"/>
          <w:szCs w:val="26"/>
        </w:rPr>
        <w:t xml:space="preserve"> очень заинтересован. К проекту уже подключилось почти 20 банков, в их числе есть и системно значимые, и банки с универсальной лицензией (ВТБ, Росбанк, </w:t>
      </w:r>
      <w:proofErr w:type="spellStart"/>
      <w:r w:rsidRPr="007D6162">
        <w:rPr>
          <w:sz w:val="26"/>
          <w:szCs w:val="26"/>
        </w:rPr>
        <w:t>Альфа-банк</w:t>
      </w:r>
      <w:proofErr w:type="spellEnd"/>
      <w:r w:rsidRPr="007D6162">
        <w:rPr>
          <w:sz w:val="26"/>
          <w:szCs w:val="26"/>
        </w:rPr>
        <w:t>, Райффайзенбанк, Газпромбанк, Тинькофф Банк и др.). Функции оператора и расчетного центра в этом проекте выполняет Центральный банк, и подробности этого проекта лучше уточнять у них.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 xml:space="preserve">— В целях развития экспорта вы планировали расширить запущенную в прошлом году систему </w:t>
      </w:r>
      <w:proofErr w:type="spellStart"/>
      <w:r w:rsidRPr="007D6162">
        <w:rPr>
          <w:rStyle w:val="a4"/>
          <w:sz w:val="26"/>
          <w:szCs w:val="26"/>
        </w:rPr>
        <w:t>tax</w:t>
      </w:r>
      <w:proofErr w:type="spellEnd"/>
      <w:r w:rsidRPr="007D6162">
        <w:rPr>
          <w:rStyle w:val="a4"/>
          <w:sz w:val="26"/>
          <w:szCs w:val="26"/>
        </w:rPr>
        <w:t xml:space="preserve"> </w:t>
      </w:r>
      <w:proofErr w:type="spellStart"/>
      <w:r w:rsidRPr="007D6162">
        <w:rPr>
          <w:rStyle w:val="a4"/>
          <w:sz w:val="26"/>
          <w:szCs w:val="26"/>
        </w:rPr>
        <w:t>free</w:t>
      </w:r>
      <w:proofErr w:type="spellEnd"/>
      <w:r w:rsidRPr="007D6162">
        <w:rPr>
          <w:rStyle w:val="a4"/>
          <w:sz w:val="26"/>
          <w:szCs w:val="26"/>
        </w:rPr>
        <w:t xml:space="preserve"> на все регионы России до конца 2019 года. Успеете ли?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— Проект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 успешно реализуется на территории России уже больше года, пилотный режим был продлен и на 2019 год. Мы постоянно расширяем список локаций, участвующих в эксперименте: сначала это были конкретные адреса в Москве, Санкт-Петербурге, Московской области, в Сочи. Затем перечень локаций был дополнен городами проведения мероприятий чемпионата мира по футболу — 2018: Казань, Саранск, Волгоград, Калининград, Нижний Новгород, Ростов-на-Дону, Самара, Екатеринбург. В июле этого года перечень локаций был дополнен еще одним городом — Великий Новгород.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>Увеличивая список локаций, мы предложили перейти на принцип включения конкретных улиц и городов, как в случае с Великим Новгородом, а не адресов. Это позволило сделать более привлекательными для туристов и для шопинга главные торговые улицы России. Например, Невский проспект в Санкт-Петербурге, Столешников переулок и Тверская улица в Москве. Кроме того, это позволило стимулировать открытие новых предприятий торговли и сферы услуг.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В итоге с апреля 2018 по июль 2019 года было выпущено более 130 тыс. чеков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 на сумму около 13 млрд рублей. Туристам было выплачено около 1,5 млрд рублей возмещения НДС. Сейчас, на стадии эксперимента, система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 реализуется посредством бумажного документооборота. В 2020 году, отладив систему электронных форм чеков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, мы планируем внести изменения в федеральные законы и нормативные правовые акты, чтобы тиражировать проект на всю страну, убрав ограничения по количеству организаций розничной торговли и перечню мест их размещения. Электронный чек как более технологичная альтернатива бумажному чеку позволяет автоматически его </w:t>
      </w:r>
      <w:proofErr w:type="spellStart"/>
      <w:r w:rsidRPr="007D6162">
        <w:rPr>
          <w:sz w:val="26"/>
          <w:szCs w:val="26"/>
        </w:rPr>
        <w:t>валидировать</w:t>
      </w:r>
      <w:proofErr w:type="spellEnd"/>
      <w:r w:rsidRPr="007D6162">
        <w:rPr>
          <w:sz w:val="26"/>
          <w:szCs w:val="26"/>
        </w:rPr>
        <w:t>, а если есть привязка к банковской карте — то автоматически возмещать его. Эти технологии уже применяются во Франции, Южной Корее, Уругвае, Сингапуре.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lastRenderedPageBreak/>
        <w:t xml:space="preserve">Электронную систему чеков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 внедряет ФТС России вместе с налоговой службой. Ее отладка будет завершена до конца 2019 года.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Что касается распространения </w:t>
      </w:r>
      <w:proofErr w:type="spellStart"/>
      <w:r w:rsidRPr="007D6162">
        <w:rPr>
          <w:sz w:val="26"/>
          <w:szCs w:val="26"/>
        </w:rPr>
        <w:t>tax</w:t>
      </w:r>
      <w:proofErr w:type="spellEnd"/>
      <w:r w:rsidRPr="007D6162">
        <w:rPr>
          <w:sz w:val="26"/>
          <w:szCs w:val="26"/>
        </w:rPr>
        <w:t xml:space="preserve"> </w:t>
      </w:r>
      <w:proofErr w:type="spellStart"/>
      <w:r w:rsidRPr="007D6162">
        <w:rPr>
          <w:sz w:val="26"/>
          <w:szCs w:val="26"/>
        </w:rPr>
        <w:t>free</w:t>
      </w:r>
      <w:proofErr w:type="spellEnd"/>
      <w:r w:rsidRPr="007D6162">
        <w:rPr>
          <w:sz w:val="26"/>
          <w:szCs w:val="26"/>
        </w:rPr>
        <w:t xml:space="preserve"> на всю страну, мы должны внести эти предложения в правительство к маю 2020 года, в Государственную думу — в сентябре 2020 года. С января 2021 года должны будем сопровождать рассмотрение федерального закона Советом Федерации. Эти сроки установлены планом мероприятий "Трансформация делового климата", утвержденным распоряжением правительства.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rStyle w:val="a4"/>
          <w:sz w:val="26"/>
          <w:szCs w:val="26"/>
        </w:rPr>
        <w:t xml:space="preserve">— К 2024 году все твердые коммунальные отходы должны будут либо утилизироваться, либо перерабатываться. Каковы перспективы выполнения этой задачи, если сейчас зачастую даже раздельно собранный мусор везут на обычный полигон? И решат ли проблему </w:t>
      </w:r>
      <w:proofErr w:type="spellStart"/>
      <w:r w:rsidRPr="007D6162">
        <w:rPr>
          <w:rStyle w:val="a4"/>
          <w:sz w:val="26"/>
          <w:szCs w:val="26"/>
        </w:rPr>
        <w:t>мусоросжигающие</w:t>
      </w:r>
      <w:proofErr w:type="spellEnd"/>
      <w:r w:rsidRPr="007D6162">
        <w:rPr>
          <w:rStyle w:val="a4"/>
          <w:sz w:val="26"/>
          <w:szCs w:val="26"/>
        </w:rPr>
        <w:t xml:space="preserve"> заводы, ведь у экологов уже есть серьезные вопросы к проектам, по которым их будут строить?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>— В первую очередь, хочу отметить, что термин "переработка" в нормативно-правовом поле отсутствует. Однако фактически он тождественен термину "утилизация", что означает использование отходов для производства новой продукции.</w:t>
      </w:r>
    </w:p>
    <w:p w:rsidR="007D6162" w:rsidRPr="007D6162" w:rsidRDefault="007D6162" w:rsidP="007D616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>Нами до 2024 года планируется строительство более чем 200 объектов сортировки твердых коммунальных отходов. Новые объекты станут гарантией того, что отходы будут утилизированы, а не направятся на свалку, как это было раньше, поскольку позволят отсортировать из ТКО вторичные ресурсы, которые являются ценным сырьем и будут востребованы рынком. За последние два года уже построено более 15 таких объектов, и темпы их ввода в эксплуатацию будут только расти.</w:t>
      </w:r>
    </w:p>
    <w:p w:rsidR="007D6162" w:rsidRPr="007D6162" w:rsidRDefault="007D6162" w:rsidP="007D6162">
      <w:pPr>
        <w:pStyle w:val="a3"/>
        <w:shd w:val="clear" w:color="auto" w:fill="FFFFFF"/>
        <w:spacing w:before="300" w:beforeAutospacing="0" w:after="300" w:afterAutospacing="0"/>
        <w:jc w:val="both"/>
        <w:rPr>
          <w:sz w:val="26"/>
          <w:szCs w:val="26"/>
        </w:rPr>
      </w:pPr>
      <w:r w:rsidRPr="007D6162">
        <w:rPr>
          <w:sz w:val="26"/>
          <w:szCs w:val="26"/>
        </w:rPr>
        <w:t xml:space="preserve">В части вопроса о мусоросжигательных заводах необходимо отметить, что проблема с отходами не должна решаться исключительно посредством сжигания мусора. Более перспективное и современное решение — переработка отходов с целью извлечения вторичного сырья, подлежащего возврату в хозяйственный оборот. Вместе с тем мусоросжигательный завод является одним из эффективных способов борьбы с мусором, в первую очередь с "хвостами" при сортировке ТКО, которые не могут быть использованы как вторичные ресурсы. С точки </w:t>
      </w:r>
      <w:proofErr w:type="gramStart"/>
      <w:r w:rsidRPr="007D6162">
        <w:rPr>
          <w:sz w:val="26"/>
          <w:szCs w:val="26"/>
        </w:rPr>
        <w:t>зрения экологической безопасности</w:t>
      </w:r>
      <w:proofErr w:type="gramEnd"/>
      <w:r w:rsidRPr="007D6162">
        <w:rPr>
          <w:sz w:val="26"/>
          <w:szCs w:val="26"/>
        </w:rPr>
        <w:t xml:space="preserve"> планируемые к строительству и строящиеся мусоросжигательные заводы предполагают использование наилучших доступных технологий. В частности, технологий, предусматривающих сжигание ТКО на колосниковых решетках с дальнейшим применением системы замкнутой трехступенчатой газоочистки. Данная технология получила широкое распространение в мировой практике и применима в отношении несортированных ТКО переменного состава.</w:t>
      </w:r>
    </w:p>
    <w:p w:rsidR="007D6162" w:rsidRPr="007D6162" w:rsidRDefault="007D6162" w:rsidP="007D61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D6162" w:rsidRPr="007D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8"/>
    <w:rsid w:val="00455618"/>
    <w:rsid w:val="007A1A8E"/>
    <w:rsid w:val="007D6162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1B7"/>
  <w15:chartTrackingRefBased/>
  <w15:docId w15:val="{03FC814F-5D6A-461C-92F0-2758693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162"/>
    <w:rPr>
      <w:b/>
      <w:bCs/>
    </w:rPr>
  </w:style>
  <w:style w:type="character" w:styleId="a5">
    <w:name w:val="Hyperlink"/>
    <w:basedOn w:val="a0"/>
    <w:uiPriority w:val="99"/>
    <w:semiHidden/>
    <w:unhideWhenUsed/>
    <w:rsid w:val="007D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2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36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vef-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2019-09-06T12:35:00Z</dcterms:created>
  <dcterms:modified xsi:type="dcterms:W3CDTF">2019-09-06T12:36:00Z</dcterms:modified>
</cp:coreProperties>
</file>